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仿宋_GB2312" w:eastAsia="仿宋_GB2312"/>
          <w:bCs/>
          <w:color w:val="000000"/>
          <w:spacing w:val="15"/>
          <w:sz w:val="32"/>
          <w:szCs w:val="32"/>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金华市双龙电站管理所2021年部门（单位）预算</w:t>
      </w:r>
    </w:p>
    <w:p>
      <w:pPr>
        <w:spacing w:line="560" w:lineRule="exact"/>
        <w:ind w:firstLine="590" w:firstLineChars="196"/>
        <w:rPr>
          <w:rStyle w:val="7"/>
          <w:color w:val="000000"/>
          <w:sz w:val="30"/>
          <w:szCs w:val="3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pPr>
    </w:p>
    <w:p>
      <w:pPr>
        <w:spacing w:line="520" w:lineRule="exact"/>
        <w:ind w:firstLine="627" w:firstLineChars="196"/>
        <w:jc w:val="center"/>
        <w:rPr>
          <w:rStyle w:val="7"/>
          <w:rFonts w:ascii="黑体" w:eastAsia="黑体"/>
          <w:b w:val="0"/>
          <w:color w:val="000000"/>
        </w:rPr>
        <w:sectPr>
          <w:pgSz w:w="11906" w:h="16838"/>
          <w:pgMar w:top="1440" w:right="1800" w:bottom="1440" w:left="1800" w:header="851" w:footer="992" w:gutter="0"/>
          <w:pgNumType w:fmt="numberInDash" w:start="5"/>
          <w:cols w:space="425" w:num="1"/>
          <w:docGrid w:type="lines" w:linePitch="312" w:charSpace="0"/>
        </w:sectPr>
      </w:pPr>
    </w:p>
    <w:p>
      <w:pPr>
        <w:spacing w:line="520" w:lineRule="exact"/>
        <w:ind w:firstLine="627" w:firstLineChars="196"/>
        <w:jc w:val="center"/>
        <w:rPr>
          <w:rStyle w:val="7"/>
          <w:rFonts w:ascii="黑体" w:eastAsia="黑体"/>
          <w:b w:val="0"/>
          <w:color w:val="000000"/>
        </w:rPr>
      </w:pPr>
    </w:p>
    <w:p>
      <w:pPr>
        <w:spacing w:line="520" w:lineRule="exact"/>
        <w:ind w:firstLine="630" w:firstLineChars="196"/>
        <w:jc w:val="center"/>
        <w:rPr>
          <w:rStyle w:val="7"/>
          <w:rFonts w:ascii="黑体" w:eastAsia="黑体"/>
          <w:b w:val="0"/>
          <w:color w:val="000000"/>
        </w:rPr>
      </w:pPr>
      <w:r>
        <w:rPr>
          <w:rStyle w:val="7"/>
          <w:rFonts w:hint="eastAsia" w:ascii="黑体" w:eastAsia="黑体"/>
          <w:color w:val="000000"/>
        </w:rPr>
        <w:t>目录</w:t>
      </w:r>
    </w:p>
    <w:p>
      <w:pPr>
        <w:spacing w:line="520" w:lineRule="exact"/>
        <w:rPr>
          <w:rFonts w:ascii="Times New Roman" w:hAnsi="Times New Roman" w:eastAsia="黑体"/>
          <w:sz w:val="32"/>
        </w:rPr>
      </w:pPr>
      <w:r>
        <w:rPr>
          <w:rFonts w:hint="eastAsia" w:ascii="黑体" w:eastAsia="黑体"/>
          <w:color w:val="000000"/>
          <w:sz w:val="32"/>
        </w:rPr>
        <w:t>一、</w:t>
      </w:r>
      <w:r>
        <w:rPr>
          <w:rStyle w:val="7"/>
          <w:rFonts w:hint="eastAsia" w:ascii="黑体" w:eastAsia="黑体"/>
          <w:color w:val="000000"/>
        </w:rPr>
        <w:t>金华市双龙电站管理所概况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（一）主要职能...................................1</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（二）部门（单位）机构设置情况...................1</w:t>
      </w:r>
    </w:p>
    <w:p>
      <w:pPr>
        <w:spacing w:line="520" w:lineRule="exact"/>
        <w:rPr>
          <w:rStyle w:val="7"/>
          <w:rFonts w:ascii="黑体" w:eastAsia="黑体"/>
          <w:b w:val="0"/>
          <w:color w:val="000000"/>
        </w:rPr>
      </w:pPr>
      <w:r>
        <w:rPr>
          <w:rStyle w:val="7"/>
          <w:rFonts w:hint="eastAsia" w:ascii="黑体" w:eastAsia="黑体"/>
          <w:color w:val="000000"/>
        </w:rPr>
        <w:t>二、金华市双龙电站管理所2021年部门（单位）预算安排情况说明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（一）关于金华市双龙电站管理所2021年收支预算情况的总体说明........................................1（二）关于金华市双龙电站管理所2021年收入预算情况说明..............................................1</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（三）关于金华市双龙电站管理所2021年支出预算情况说明..............................................2（四）关于金华市双龙电站管理所2021年财政拨款收支预算情况的总体说明................................2</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（五）关于金华市双龙电站管理所2021年一般公共预算当年拨款情况说明..................................2</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（六）关于金华市双龙电站管理所2021年一般公共预算基本支出情况说明..................................3</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（七）关于金华市双龙电站管理所2021年政府性基金预算支出情况说明....................................4</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（八）关于金华市双龙电站管理所2021年一般公共预算“三公”经费预算情况说明........................4</w:t>
      </w:r>
    </w:p>
    <w:p>
      <w:pPr>
        <w:spacing w:line="530" w:lineRule="exact"/>
        <w:ind w:firstLine="640" w:firstLineChars="200"/>
        <w:rPr>
          <w:rFonts w:ascii="楷体_GB2312" w:hAnsi="楷体_GB2312" w:eastAsia="楷体_GB2312" w:cs="楷体_GB2312"/>
          <w:bCs/>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530" w:lineRule="exact"/>
        <w:ind w:firstLine="640" w:firstLineChars="200"/>
        <w:rPr>
          <w:rFonts w:ascii="楷体_GB2312" w:hAnsi="楷体_GB2312" w:eastAsia="楷体" w:cs="楷体_GB2312"/>
          <w:bCs/>
          <w:sz w:val="32"/>
          <w:szCs w:val="32"/>
        </w:rPr>
      </w:pPr>
      <w:r>
        <w:rPr>
          <w:rFonts w:hint="eastAsia" w:ascii="楷体_GB2312" w:hAnsi="楷体_GB2312" w:eastAsia="楷体_GB2312" w:cs="楷体_GB2312"/>
          <w:bCs/>
          <w:sz w:val="32"/>
          <w:szCs w:val="32"/>
        </w:rPr>
        <w:t>（九）</w:t>
      </w:r>
      <w:r>
        <w:rPr>
          <w:rFonts w:ascii="Times New Roman" w:hAnsi="Times New Roman" w:eastAsia="楷体" w:cs="Times New Roman"/>
          <w:color w:val="000000"/>
          <w:sz w:val="32"/>
          <w:szCs w:val="32"/>
        </w:rPr>
        <w:t>其他重要事项的情况说明（分项说明内容不可缺失）</w:t>
      </w:r>
      <w:r>
        <w:rPr>
          <w:rFonts w:hint="eastAsia" w:ascii="楷体_GB2312" w:hAnsi="楷体_GB2312" w:eastAsia="楷体_GB2312" w:cs="楷体_GB2312"/>
          <w:bCs/>
          <w:sz w:val="32"/>
          <w:szCs w:val="32"/>
        </w:rPr>
        <w:t>...............................................5</w:t>
      </w:r>
    </w:p>
    <w:p>
      <w:pPr>
        <w:pStyle w:val="10"/>
        <w:spacing w:line="520" w:lineRule="exact"/>
        <w:rPr>
          <w:rStyle w:val="7"/>
          <w:rFonts w:ascii="黑体" w:hAnsi="Calibri" w:eastAsia="黑体"/>
          <w:b w:val="0"/>
          <w:color w:val="000000"/>
          <w:kern w:val="2"/>
        </w:rPr>
      </w:pPr>
      <w:r>
        <w:rPr>
          <w:rStyle w:val="7"/>
          <w:rFonts w:hint="eastAsia" w:ascii="黑体" w:hAnsi="Calibri" w:eastAsia="黑体"/>
          <w:color w:val="000000"/>
          <w:kern w:val="2"/>
        </w:rPr>
        <w:t>三、名词解释</w:t>
      </w:r>
      <w:r>
        <w:rPr>
          <w:rFonts w:hint="eastAsia" w:ascii="楷体_GB2312" w:hAnsi="楷体_GB2312" w:eastAsia="楷体_GB2312" w:cs="楷体_GB2312"/>
          <w:bCs/>
          <w:sz w:val="32"/>
          <w:szCs w:val="32"/>
        </w:rPr>
        <w:t>.......................................6</w:t>
      </w:r>
    </w:p>
    <w:p>
      <w:pPr>
        <w:spacing w:line="520" w:lineRule="exact"/>
        <w:rPr>
          <w:rStyle w:val="7"/>
          <w:rFonts w:ascii="黑体" w:eastAsia="黑体"/>
          <w:b w:val="0"/>
          <w:color w:val="000000"/>
        </w:rPr>
      </w:pPr>
      <w:r>
        <w:rPr>
          <w:rStyle w:val="7"/>
          <w:rFonts w:hint="eastAsia" w:ascii="黑体" w:eastAsia="黑体"/>
          <w:color w:val="000000"/>
        </w:rPr>
        <w:t>四、金华市本级2021年市级部门预算公开表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（一）2021年金华市直部门（单位）收支预算总表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（二）2021年金华市直部门（单位）收入预算总表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（三）2021年市级部门支出预算总表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（四）2021年金华市直部门（单位）财政拨款收支预算表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（五）2021年市级部门一般公共预算支出表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（六）2021年市级部门一般公共预算基本支出表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（七）2021年市级部门一般公共预算“三公”经费支出表（八）2021年市级部门政府性基金预算支出表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（九）2021年金华市直部门（单位）支出预算分类科目汇总表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 2021年金华市直部门（单位）预算财政拨款重点项目支出预算表</w:t>
      </w:r>
    </w:p>
    <w:p>
      <w:pPr>
        <w:spacing w:line="530" w:lineRule="exact"/>
        <w:ind w:firstLine="627" w:firstLineChars="196"/>
        <w:rPr>
          <w:rStyle w:val="7"/>
          <w:rFonts w:ascii="黑体" w:eastAsia="黑体"/>
          <w:b w:val="0"/>
          <w:color w:val="000000"/>
        </w:rPr>
      </w:pPr>
    </w:p>
    <w:p>
      <w:pPr>
        <w:spacing w:line="530" w:lineRule="exact"/>
        <w:ind w:firstLine="627" w:firstLineChars="196"/>
        <w:rPr>
          <w:rStyle w:val="7"/>
          <w:rFonts w:ascii="黑体" w:eastAsia="黑体"/>
          <w:b w:val="0"/>
          <w:color w:val="000000"/>
        </w:rPr>
      </w:pPr>
    </w:p>
    <w:p>
      <w:pPr>
        <w:spacing w:line="530" w:lineRule="exact"/>
        <w:ind w:firstLine="627" w:firstLineChars="196"/>
        <w:rPr>
          <w:rStyle w:val="7"/>
          <w:rFonts w:ascii="黑体" w:eastAsia="黑体"/>
          <w:b w:val="0"/>
          <w:color w:val="000000"/>
        </w:rPr>
      </w:pPr>
    </w:p>
    <w:p>
      <w:pPr>
        <w:spacing w:line="530" w:lineRule="exact"/>
        <w:ind w:firstLine="627" w:firstLineChars="196"/>
        <w:rPr>
          <w:rStyle w:val="7"/>
          <w:rFonts w:ascii="黑体" w:eastAsia="黑体"/>
          <w:b w:val="0"/>
          <w:color w:val="000000"/>
        </w:rPr>
      </w:pPr>
    </w:p>
    <w:p>
      <w:pPr>
        <w:spacing w:line="530" w:lineRule="exact"/>
        <w:ind w:firstLine="627" w:firstLineChars="196"/>
        <w:rPr>
          <w:rStyle w:val="7"/>
          <w:rFonts w:ascii="黑体" w:eastAsia="黑体"/>
          <w:b w:val="0"/>
          <w:color w:val="000000"/>
        </w:rPr>
      </w:pPr>
    </w:p>
    <w:p>
      <w:pPr>
        <w:spacing w:line="530" w:lineRule="exact"/>
        <w:ind w:firstLine="627" w:firstLineChars="196"/>
        <w:rPr>
          <w:rStyle w:val="7"/>
          <w:rFonts w:ascii="黑体" w:eastAsia="黑体"/>
          <w:b w:val="0"/>
          <w:color w:val="000000"/>
        </w:rPr>
      </w:pPr>
    </w:p>
    <w:p>
      <w:pPr>
        <w:spacing w:line="530" w:lineRule="exact"/>
        <w:rPr>
          <w:rStyle w:val="7"/>
          <w:rFonts w:ascii="黑体" w:eastAsia="黑体"/>
          <w:b w:val="0"/>
          <w:color w:val="000000"/>
        </w:rPr>
      </w:pPr>
    </w:p>
    <w:p>
      <w:pPr>
        <w:spacing w:line="530" w:lineRule="exact"/>
        <w:ind w:firstLine="640" w:firstLineChars="200"/>
        <w:rPr>
          <w:rStyle w:val="7"/>
          <w:rFonts w:ascii="黑体" w:eastAsia="黑体"/>
          <w:b w:val="0"/>
          <w:color w:val="000000"/>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530" w:lineRule="exact"/>
        <w:ind w:firstLine="640" w:firstLineChars="200"/>
        <w:rPr>
          <w:rStyle w:val="7"/>
          <w:rFonts w:ascii="黑体" w:eastAsia="黑体"/>
          <w:b w:val="0"/>
          <w:color w:val="000000"/>
        </w:rPr>
      </w:pPr>
      <w:r>
        <w:rPr>
          <w:rStyle w:val="7"/>
          <w:rFonts w:hint="eastAsia" w:ascii="黑体" w:eastAsia="黑体"/>
          <w:b w:val="0"/>
          <w:color w:val="000000"/>
        </w:rPr>
        <w:t>一、</w:t>
      </w:r>
      <w:r>
        <w:rPr>
          <w:rFonts w:hint="eastAsia" w:ascii="黑体" w:hAnsi="宋体" w:eastAsia="黑体" w:cs="Courier New"/>
          <w:color w:val="000000"/>
          <w:sz w:val="32"/>
          <w:szCs w:val="32"/>
        </w:rPr>
        <w:t>金华市双龙电站管理所</w:t>
      </w:r>
      <w:r>
        <w:rPr>
          <w:rStyle w:val="7"/>
          <w:rFonts w:hint="eastAsia" w:ascii="黑体" w:eastAsia="黑体"/>
          <w:b w:val="0"/>
          <w:color w:val="000000"/>
        </w:rPr>
        <w:t>概况</w:t>
      </w:r>
    </w:p>
    <w:p>
      <w:pPr>
        <w:spacing w:line="530" w:lineRule="exact"/>
        <w:ind w:firstLine="627" w:firstLineChars="196"/>
        <w:rPr>
          <w:rFonts w:ascii="楷体" w:hAnsi="楷体" w:eastAsia="楷体" w:cs="楷体_GB2312"/>
          <w:color w:val="000000"/>
          <w:sz w:val="32"/>
          <w:szCs w:val="32"/>
        </w:rPr>
      </w:pPr>
      <w:r>
        <w:rPr>
          <w:rFonts w:hint="eastAsia" w:ascii="楷体" w:hAnsi="楷体" w:eastAsia="楷体" w:cs="楷体_GB2312"/>
          <w:color w:val="000000"/>
          <w:sz w:val="32"/>
          <w:szCs w:val="32"/>
        </w:rPr>
        <w:t>（一）主要职能</w:t>
      </w:r>
    </w:p>
    <w:p>
      <w:pPr>
        <w:spacing w:line="53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1. 负责辖区水库及水电安全生产检查工作，协调落实安全生产各项措施及隐患整改。</w:t>
      </w:r>
    </w:p>
    <w:p>
      <w:pPr>
        <w:spacing w:line="53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2. 负责辖区水库、水电安全生产考核。</w:t>
      </w:r>
    </w:p>
    <w:p>
      <w:pPr>
        <w:spacing w:line="53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3. 做好辖区水库安全调度，掌握出入库流量及水位变化，确保辖区水利设施安全运行。</w:t>
      </w:r>
    </w:p>
    <w:p>
      <w:pPr>
        <w:spacing w:line="53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4. 负责毛主席视察双龙电站纪念馆日常管理工作。</w:t>
      </w:r>
    </w:p>
    <w:p>
      <w:pPr>
        <w:spacing w:line="53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5. 承办党工委、管委会交办的其它任务。</w:t>
      </w:r>
    </w:p>
    <w:p>
      <w:pPr>
        <w:spacing w:line="530" w:lineRule="exact"/>
        <w:ind w:firstLine="627" w:firstLineChars="196"/>
        <w:rPr>
          <w:rFonts w:ascii="楷体" w:hAnsi="楷体" w:eastAsia="楷体" w:cs="楷体_GB2312"/>
          <w:color w:val="000000"/>
          <w:sz w:val="32"/>
          <w:szCs w:val="32"/>
        </w:rPr>
      </w:pPr>
      <w:r>
        <w:rPr>
          <w:rFonts w:hint="eastAsia" w:ascii="楷体" w:hAnsi="楷体" w:eastAsia="楷体" w:cs="楷体_GB2312"/>
          <w:color w:val="000000"/>
          <w:sz w:val="32"/>
          <w:szCs w:val="32"/>
        </w:rPr>
        <w:t>（二）部门预算单位构成</w:t>
      </w:r>
    </w:p>
    <w:p>
      <w:pPr>
        <w:spacing w:line="530" w:lineRule="exact"/>
        <w:ind w:firstLine="645"/>
        <w:rPr>
          <w:rFonts w:ascii="仿宋" w:hAnsi="仿宋" w:eastAsia="仿宋"/>
          <w:bCs/>
          <w:color w:val="000000"/>
          <w:sz w:val="32"/>
          <w:szCs w:val="32"/>
        </w:rPr>
      </w:pPr>
      <w:r>
        <w:rPr>
          <w:rFonts w:hint="eastAsia" w:ascii="仿宋" w:hAnsi="仿宋" w:eastAsia="仿宋"/>
          <w:bCs/>
          <w:color w:val="000000"/>
          <w:sz w:val="32"/>
          <w:szCs w:val="32"/>
        </w:rPr>
        <w:t>从预算单位构成看，金华市双龙电站管理所预算包括：本单位办公室、水库管理科、电站管理科预算。</w:t>
      </w:r>
    </w:p>
    <w:p>
      <w:pPr>
        <w:spacing w:line="530" w:lineRule="exact"/>
        <w:ind w:firstLine="645"/>
        <w:rPr>
          <w:rFonts w:ascii="楷体" w:hAnsi="楷体" w:eastAsia="楷体" w:cs="楷体_GB2312"/>
          <w:b/>
          <w:color w:val="000000"/>
          <w:sz w:val="32"/>
          <w:szCs w:val="32"/>
        </w:rPr>
      </w:pPr>
      <w:r>
        <w:rPr>
          <w:rStyle w:val="7"/>
          <w:rFonts w:hint="eastAsia" w:ascii="黑体" w:eastAsia="黑体"/>
          <w:b w:val="0"/>
          <w:color w:val="000000"/>
        </w:rPr>
        <w:t>二、金华市双龙电站管理所</w:t>
      </w:r>
      <w:r>
        <w:rPr>
          <w:rStyle w:val="7"/>
          <w:rFonts w:ascii="黑体" w:eastAsia="黑体"/>
          <w:b w:val="0"/>
          <w:color w:val="000000"/>
        </w:rPr>
        <w:t>202</w:t>
      </w:r>
      <w:r>
        <w:rPr>
          <w:rStyle w:val="7"/>
          <w:rFonts w:hint="eastAsia" w:ascii="黑体" w:eastAsia="黑体"/>
          <w:b w:val="0"/>
          <w:color w:val="000000"/>
        </w:rPr>
        <w:t>1年部门预算安排情况说明</w:t>
      </w:r>
    </w:p>
    <w:p>
      <w:pPr>
        <w:spacing w:line="530" w:lineRule="exact"/>
        <w:ind w:firstLine="640" w:firstLineChars="200"/>
        <w:rPr>
          <w:rFonts w:ascii="楷体" w:hAnsi="楷体" w:eastAsia="楷体"/>
          <w:bCs/>
          <w:color w:val="000000"/>
          <w:sz w:val="32"/>
          <w:szCs w:val="32"/>
        </w:rPr>
      </w:pPr>
      <w:r>
        <w:rPr>
          <w:rFonts w:hint="eastAsia" w:ascii="楷体" w:hAnsi="楷体" w:eastAsia="楷体" w:cs="楷体_GB2312"/>
          <w:color w:val="000000"/>
          <w:sz w:val="32"/>
          <w:szCs w:val="32"/>
        </w:rPr>
        <w:t>（一）关于金华市双龙电站管理所</w:t>
      </w:r>
      <w:r>
        <w:rPr>
          <w:rFonts w:hint="eastAsia" w:ascii="楷体" w:hAnsi="楷体" w:eastAsia="楷体"/>
          <w:bCs/>
          <w:color w:val="000000"/>
          <w:sz w:val="32"/>
          <w:szCs w:val="32"/>
        </w:rPr>
        <w:t>2021年收支预算情况的总体说明</w:t>
      </w:r>
    </w:p>
    <w:p>
      <w:pPr>
        <w:spacing w:line="530" w:lineRule="exact"/>
        <w:ind w:firstLine="640" w:firstLineChars="200"/>
        <w:rPr>
          <w:rFonts w:ascii="仿宋" w:hAnsi="仿宋" w:eastAsia="仿宋" w:cs="Times New Roman"/>
          <w:color w:val="000000"/>
          <w:sz w:val="32"/>
          <w:szCs w:val="32"/>
        </w:rPr>
      </w:pPr>
      <w:r>
        <w:rPr>
          <w:rFonts w:hint="eastAsia" w:ascii="仿宋" w:hAnsi="仿宋" w:eastAsia="仿宋"/>
          <w:bCs/>
          <w:color w:val="000000"/>
          <w:sz w:val="32"/>
          <w:szCs w:val="32"/>
        </w:rPr>
        <w:t>按照综合预算的原则，</w:t>
      </w:r>
      <w:r>
        <w:rPr>
          <w:rFonts w:hint="eastAsia" w:ascii="仿宋" w:hAnsi="仿宋" w:eastAsia="仿宋"/>
          <w:color w:val="000000"/>
          <w:sz w:val="32"/>
          <w:szCs w:val="32"/>
        </w:rPr>
        <w:t>金华市双龙电站管理所所有收入和支出均纳入部门预算管理。收入包括：一般公共预算拨款收入、政府性基金预算收入、事业单位经营收入；支出包括：教育支出、社会保障和就业支出、卫生健康支出、城乡社区支出、农林水支出、住房保障支出。金华市双龙电站管理所2020年收支总预算529.43万元。</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（二）关于金华市双龙电站管理所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收入预算情况说明</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金华市双龙电站管理所2021年收入预算529.43万元，其中：上年结转0万元，占0.0%；一般公共预算拨款收入308.43元，占58.3%；政府性基金预算拨款收入100万元，占18.9%；事业单位经营收入121万元，占22.8%。</w:t>
      </w:r>
    </w:p>
    <w:p>
      <w:pPr>
        <w:spacing w:line="530" w:lineRule="exact"/>
        <w:ind w:firstLine="640" w:firstLineChars="200"/>
        <w:rPr>
          <w:rFonts w:ascii="仿宋_GB2312" w:eastAsia="仿宋_GB2312"/>
          <w:color w:val="000000"/>
          <w:sz w:val="32"/>
          <w:szCs w:val="32"/>
        </w:rPr>
      </w:pPr>
      <w:r>
        <w:rPr>
          <w:rFonts w:hint="eastAsia" w:ascii="楷体" w:hAnsi="楷体" w:eastAsia="楷体" w:cs="楷体_GB2312"/>
          <w:color w:val="000000"/>
          <w:sz w:val="32"/>
          <w:szCs w:val="32"/>
        </w:rPr>
        <w:t>（三）关于金华市双龙电站管理所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支出预算情况说明</w:t>
      </w:r>
    </w:p>
    <w:p>
      <w:pPr>
        <w:spacing w:line="530" w:lineRule="exact"/>
        <w:ind w:firstLine="640" w:firstLineChars="200"/>
        <w:rPr>
          <w:rFonts w:ascii="仿宋" w:hAnsi="仿宋" w:eastAsia="仿宋"/>
          <w:color w:val="000000"/>
          <w:sz w:val="32"/>
          <w:szCs w:val="32"/>
        </w:rPr>
      </w:pPr>
      <w:bookmarkStart w:id="0" w:name="_Hlk40977587"/>
      <w:r>
        <w:rPr>
          <w:rFonts w:hint="eastAsia" w:ascii="仿宋" w:hAnsi="仿宋" w:eastAsia="仿宋"/>
          <w:color w:val="000000"/>
          <w:sz w:val="32"/>
          <w:szCs w:val="32"/>
        </w:rPr>
        <w:t>金华市双龙电站管理所</w:t>
      </w:r>
      <w:bookmarkEnd w:id="0"/>
      <w:r>
        <w:rPr>
          <w:rFonts w:hint="eastAsia" w:ascii="仿宋" w:hAnsi="仿宋" w:eastAsia="仿宋"/>
          <w:color w:val="000000"/>
          <w:sz w:val="32"/>
          <w:szCs w:val="32"/>
        </w:rPr>
        <w:t>2021年支出预算529.43万元。</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1.按支出功能分类，包括社会保障和就业支出21.47万元、卫生健康支出9.66万元，农林水支出372.88万元，城乡社区支出100万元，住房保障支出25.42万元。</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2.按支出用途分类，包括人员支出277.7万元，占52.5%；日常公用支出30.73万元，占5.8%；项目支出221万元，占41.7%。</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结转下年0万元。</w:t>
      </w:r>
    </w:p>
    <w:p>
      <w:pPr>
        <w:spacing w:line="53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（四）</w:t>
      </w:r>
      <w:r>
        <w:rPr>
          <w:rFonts w:hint="eastAsia" w:ascii="楷体" w:hAnsi="楷体" w:eastAsia="楷体" w:cs="楷体_GB2312"/>
          <w:color w:val="000000"/>
          <w:sz w:val="32"/>
          <w:szCs w:val="32"/>
        </w:rPr>
        <w:t>关于金华市双龙电站管理所</w:t>
      </w:r>
      <w:r>
        <w:rPr>
          <w:rFonts w:hint="eastAsia" w:ascii="楷体" w:hAnsi="楷体" w:eastAsia="楷体"/>
          <w:bCs/>
          <w:color w:val="000000"/>
          <w:sz w:val="32"/>
          <w:szCs w:val="32"/>
        </w:rPr>
        <w:t>2021年</w:t>
      </w:r>
      <w:r>
        <w:rPr>
          <w:rFonts w:hint="eastAsia" w:ascii="楷体" w:hAnsi="楷体" w:eastAsia="楷体" w:cs="楷体_GB2312"/>
          <w:sz w:val="32"/>
          <w:szCs w:val="32"/>
        </w:rPr>
        <w:t>财政拨款收支预算情况的总体说明</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金华市双龙电站管理所2021年财政拨款收支总预算408.43万元。收入包括：一般公共预算308.43万元、政府性基金100万元；支出包括：社会保障和就业支出21.47万元、卫生健康支出9.66万元，农林水支出251.88万元，城乡社区支出100万元，住房保障支出25.42万元。</w:t>
      </w:r>
    </w:p>
    <w:p>
      <w:pPr>
        <w:numPr>
          <w:ilvl w:val="0"/>
          <w:numId w:val="1"/>
        </w:num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关于金华市双龙电站管理所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一般公共预算当年拨款情况说明</w:t>
      </w:r>
    </w:p>
    <w:p>
      <w:pPr>
        <w:spacing w:line="530" w:lineRule="exact"/>
        <w:ind w:firstLine="640" w:firstLineChars="200"/>
        <w:rPr>
          <w:rFonts w:ascii="仿宋" w:hAnsi="仿宋" w:eastAsia="仿宋" w:cs="楷体_GB2312"/>
          <w:color w:val="FF0000"/>
          <w:sz w:val="32"/>
          <w:szCs w:val="32"/>
        </w:rPr>
      </w:pPr>
      <w:r>
        <w:rPr>
          <w:rFonts w:hint="eastAsia" w:ascii="仿宋" w:hAnsi="仿宋" w:eastAsia="仿宋" w:cs="楷体_GB2312"/>
          <w:color w:val="000000"/>
          <w:sz w:val="32"/>
          <w:szCs w:val="32"/>
        </w:rPr>
        <w:t>1.</w:t>
      </w:r>
      <w:r>
        <w:rPr>
          <w:rFonts w:hint="eastAsia" w:ascii="仿宋" w:hAnsi="仿宋" w:eastAsia="仿宋" w:cs="楷体_GB2312"/>
          <w:sz w:val="32"/>
          <w:szCs w:val="32"/>
        </w:rPr>
        <w:t>一般公共预算当年拨款规模变化情况</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金华市双龙电站管理所2021年一般公共预算当年拨款308.43万元，比2020年执行数增加27.71万元，主要是考核奖等增加。</w:t>
      </w:r>
    </w:p>
    <w:p>
      <w:pPr>
        <w:spacing w:line="530" w:lineRule="exact"/>
        <w:ind w:firstLine="640" w:firstLineChars="200"/>
        <w:rPr>
          <w:rFonts w:ascii="仿宋" w:hAnsi="仿宋" w:eastAsia="仿宋" w:cs="楷体_GB2312"/>
          <w:color w:val="000000"/>
          <w:sz w:val="32"/>
          <w:szCs w:val="32"/>
        </w:rPr>
      </w:pPr>
      <w:r>
        <w:rPr>
          <w:rFonts w:hint="eastAsia" w:ascii="仿宋" w:hAnsi="仿宋" w:eastAsia="仿宋" w:cs="楷体_GB2312"/>
          <w:color w:val="000000"/>
          <w:sz w:val="32"/>
          <w:szCs w:val="32"/>
        </w:rPr>
        <w:t>2.一般公共预算当年拨款结构情况。</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社会保障和就业（类）支出21.47万元，占7.0%；住房保障（类）支出25.42万元，占8.2%；卫生健康（类）支出9.66万元，占3.1%；农林水（类）支出</w:t>
      </w:r>
      <w:r>
        <w:rPr>
          <w:rFonts w:hint="eastAsia" w:ascii="仿宋" w:hAnsi="仿宋" w:eastAsia="仿宋"/>
          <w:color w:val="FF0000"/>
          <w:sz w:val="32"/>
          <w:szCs w:val="32"/>
        </w:rPr>
        <w:t>251.88</w:t>
      </w:r>
      <w:r>
        <w:rPr>
          <w:rFonts w:hint="eastAsia" w:ascii="仿宋" w:hAnsi="仿宋" w:eastAsia="仿宋"/>
          <w:color w:val="000000"/>
          <w:sz w:val="32"/>
          <w:szCs w:val="32"/>
        </w:rPr>
        <w:t>万元，占81.7%。</w:t>
      </w:r>
      <w:r>
        <w:rPr>
          <w:rFonts w:ascii="仿宋" w:hAnsi="仿宋" w:eastAsia="仿宋"/>
          <w:color w:val="000000"/>
          <w:sz w:val="32"/>
          <w:szCs w:val="32"/>
        </w:rPr>
        <w:t xml:space="preserve"> </w:t>
      </w:r>
    </w:p>
    <w:p>
      <w:pPr>
        <w:spacing w:line="530" w:lineRule="exact"/>
        <w:ind w:firstLine="800" w:firstLineChars="250"/>
        <w:rPr>
          <w:rFonts w:ascii="仿宋" w:hAnsi="仿宋" w:eastAsia="仿宋"/>
          <w:color w:val="000000"/>
          <w:sz w:val="32"/>
          <w:szCs w:val="32"/>
        </w:rPr>
      </w:pPr>
      <w:r>
        <w:rPr>
          <w:rFonts w:hint="eastAsia" w:ascii="仿宋" w:hAnsi="仿宋" w:eastAsia="仿宋" w:cs="楷体_GB2312"/>
          <w:color w:val="000000"/>
          <w:sz w:val="32"/>
          <w:szCs w:val="32"/>
        </w:rPr>
        <w:t>3.一般公共预算当年拨款具体使用情况。</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（1）社会保障和就业支出（类）行政事业单位养老支出（款）机关事业单位基本养老保险缴费支出（项）14.15万元，主要用于机关事业单位养老保险缴费支出。</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（2）社会保障和就业支出（类）行政事业单位养老支出（款）机关事业单位职业年金缴费支出（项）7.08万元，主要用于机关事业单位职业年金缴费支出。</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（3）社会保障和就业支出（类）行政事业单位养老支出（款）其他行政事业单位养老支出（项）0.24万元，主要用于退休工人护理费和活动经费支出。</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（4）卫生健康支出（类）行政事业单位医疗（款）事业单位医疗（项）9.66万元，主要用于在职和退休人员医疗保险。</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（5）农林水支出（类）水利（款）其他水利支出（项）251.88万元，主要用于单位经常性项目支出。</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（6）住房保障支出（类）住房改革支出（款）住房公积金（项）25.42万元，主要用于在职职工的住房公积金。</w:t>
      </w:r>
    </w:p>
    <w:p>
      <w:pPr>
        <w:spacing w:line="530" w:lineRule="exact"/>
        <w:ind w:firstLine="640" w:firstLineChars="200"/>
        <w:rPr>
          <w:rFonts w:ascii="楷体_GB2312" w:hAnsi="楷体_GB2312" w:eastAsia="楷体_GB2312" w:cs="楷体_GB2312"/>
          <w:b/>
          <w:color w:val="000000"/>
          <w:sz w:val="32"/>
          <w:szCs w:val="32"/>
        </w:rPr>
      </w:pPr>
      <w:r>
        <w:rPr>
          <w:rFonts w:hint="eastAsia" w:ascii="楷体" w:hAnsi="楷体" w:eastAsia="楷体" w:cs="楷体_GB2312"/>
          <w:color w:val="000000"/>
          <w:sz w:val="32"/>
          <w:szCs w:val="32"/>
        </w:rPr>
        <w:t>（六）关于金华市双龙电站管理所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一般公共预算基本支出情况说明</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金华市双龙电站管理所2021年一般公共预算基本支出308.43万元，其中：</w:t>
      </w:r>
    </w:p>
    <w:p>
      <w:pPr>
        <w:spacing w:line="530" w:lineRule="exact"/>
        <w:ind w:firstLine="200"/>
        <w:rPr>
          <w:rFonts w:ascii="仿宋" w:hAnsi="仿宋" w:eastAsia="仿宋"/>
          <w:color w:val="000000"/>
          <w:sz w:val="32"/>
          <w:szCs w:val="32"/>
          <w:shd w:val="pct10" w:color="auto" w:fill="FFFFFF"/>
        </w:rPr>
      </w:pPr>
      <w:r>
        <w:rPr>
          <w:rFonts w:hint="eastAsia" w:ascii="仿宋" w:hAnsi="仿宋" w:eastAsia="仿宋"/>
          <w:color w:val="000000"/>
          <w:sz w:val="32"/>
          <w:szCs w:val="32"/>
        </w:rPr>
        <w:t xml:space="preserve">   人员经费277.7万元，主要包括：基本工资、津贴补贴、奖金、绩效工资、机关事业单位基本养老保险缴费、职业年金缴费、职工基本医疗保险缴费、公务员医疗补助缴费、其他社会保障缴费、住房公积金、其他工资福利支出、退休费、生活补助、其他对个人和家庭补助支出；</w:t>
      </w:r>
    </w:p>
    <w:p>
      <w:pPr>
        <w:spacing w:line="530" w:lineRule="exact"/>
        <w:ind w:firstLine="640" w:firstLineChars="200"/>
        <w:rPr>
          <w:rFonts w:ascii="仿宋" w:hAnsi="仿宋" w:eastAsia="仿宋"/>
          <w:color w:val="000000"/>
          <w:sz w:val="32"/>
          <w:szCs w:val="32"/>
          <w:shd w:val="pct10" w:color="auto" w:fill="FFFFFF"/>
        </w:rPr>
      </w:pPr>
      <w:r>
        <w:rPr>
          <w:rFonts w:hint="eastAsia" w:ascii="仿宋" w:hAnsi="仿宋" w:eastAsia="仿宋"/>
          <w:color w:val="000000"/>
          <w:sz w:val="32"/>
          <w:szCs w:val="32"/>
        </w:rPr>
        <w:t>公用经费30.73万元，主要包括：办公费、水费、电费、邮电费、差旅费、维修（护）费、租赁费、培训费、公务接待费、劳务费、工会经费、福利费、其他交通费用、其他商品和服务支出。</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（七）关于金华市双龙电站管理所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政府性基金预算支出情况说明</w:t>
      </w:r>
    </w:p>
    <w:p>
      <w:pPr>
        <w:spacing w:line="530" w:lineRule="exact"/>
        <w:ind w:firstLine="643" w:firstLineChars="200"/>
        <w:rPr>
          <w:rFonts w:ascii="仿宋" w:hAnsi="仿宋" w:eastAsia="仿宋" w:cs="楷体_GB2312"/>
          <w:b/>
          <w:color w:val="000000"/>
          <w:sz w:val="32"/>
          <w:szCs w:val="32"/>
        </w:rPr>
      </w:pPr>
      <w:r>
        <w:rPr>
          <w:rFonts w:hint="eastAsia" w:ascii="仿宋" w:hAnsi="仿宋" w:eastAsia="仿宋" w:cs="楷体_GB2312"/>
          <w:b/>
          <w:color w:val="000000"/>
          <w:sz w:val="32"/>
          <w:szCs w:val="32"/>
        </w:rPr>
        <w:t>1.政府性基金预算当年拨款规模变化情况。</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金华市双龙电站管理所2021年政府性基金预算当年拨款100万元，比2020年执行数增加2.44万元，主要是工程按进度支付。</w:t>
      </w:r>
    </w:p>
    <w:p>
      <w:pPr>
        <w:spacing w:line="530" w:lineRule="exact"/>
        <w:ind w:firstLine="643" w:firstLineChars="200"/>
        <w:rPr>
          <w:rFonts w:ascii="仿宋" w:hAnsi="仿宋" w:eastAsia="仿宋" w:cs="楷体_GB2312"/>
          <w:b/>
          <w:color w:val="000000"/>
          <w:sz w:val="32"/>
          <w:szCs w:val="32"/>
        </w:rPr>
      </w:pPr>
      <w:r>
        <w:rPr>
          <w:rFonts w:hint="eastAsia" w:ascii="仿宋" w:hAnsi="仿宋" w:eastAsia="仿宋" w:cs="楷体_GB2312"/>
          <w:b/>
          <w:color w:val="000000"/>
          <w:sz w:val="32"/>
          <w:szCs w:val="32"/>
        </w:rPr>
        <w:t>2.政府性基金预算当年拨款结构情况。</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城乡社区支出（类）支出100万元，占100.0%。</w:t>
      </w:r>
    </w:p>
    <w:p>
      <w:pPr>
        <w:spacing w:line="530" w:lineRule="exact"/>
        <w:ind w:firstLine="643" w:firstLineChars="200"/>
        <w:rPr>
          <w:rFonts w:ascii="仿宋" w:hAnsi="仿宋" w:eastAsia="仿宋"/>
          <w:b/>
          <w:color w:val="000000"/>
          <w:sz w:val="32"/>
          <w:szCs w:val="32"/>
        </w:rPr>
      </w:pPr>
      <w:r>
        <w:rPr>
          <w:rFonts w:hint="eastAsia" w:ascii="仿宋" w:hAnsi="仿宋" w:eastAsia="仿宋" w:cs="楷体_GB2312"/>
          <w:b/>
          <w:color w:val="000000"/>
          <w:sz w:val="32"/>
          <w:szCs w:val="32"/>
        </w:rPr>
        <w:t>3.政府性基金预算当年拨款具体使用情况。</w:t>
      </w:r>
    </w:p>
    <w:p>
      <w:pPr>
        <w:spacing w:line="53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（1）城乡社区支出（类）国有土地使用权出让收入安排的支出（款）农村基础设施建设支出（项）100万元，主要用于西干渠加固改造工程。</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（八）关于金华市双龙电站管理所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一般公共预算“三公”经费预算情况说明</w:t>
      </w:r>
    </w:p>
    <w:p>
      <w:pPr>
        <w:spacing w:line="530" w:lineRule="exact"/>
        <w:ind w:firstLine="640" w:firstLineChars="200"/>
        <w:rPr>
          <w:rFonts w:ascii="仿宋" w:hAnsi="仿宋" w:eastAsia="仿宋"/>
          <w:sz w:val="32"/>
          <w:szCs w:val="20"/>
        </w:rPr>
      </w:pPr>
      <w:r>
        <w:rPr>
          <w:rFonts w:hint="eastAsia" w:ascii="仿宋" w:hAnsi="仿宋" w:eastAsia="仿宋"/>
          <w:color w:val="000000"/>
          <w:sz w:val="32"/>
          <w:szCs w:val="32"/>
        </w:rPr>
        <w:t>金华市双龙电站管理所</w:t>
      </w:r>
      <w:r>
        <w:rPr>
          <w:rFonts w:hint="eastAsia" w:ascii="仿宋" w:hAnsi="仿宋" w:eastAsia="仿宋"/>
          <w:sz w:val="32"/>
        </w:rPr>
        <w:t>2021年一般公共预算“三公”经费预算数为</w:t>
      </w:r>
      <w:r>
        <w:rPr>
          <w:rFonts w:hint="eastAsia" w:ascii="仿宋" w:hAnsi="仿宋" w:eastAsia="仿宋"/>
          <w:color w:val="000000"/>
          <w:sz w:val="32"/>
          <w:szCs w:val="32"/>
        </w:rPr>
        <w:t>0.5</w:t>
      </w:r>
      <w:r>
        <w:rPr>
          <w:rFonts w:hint="eastAsia" w:ascii="仿宋" w:hAnsi="仿宋" w:eastAsia="仿宋"/>
          <w:sz w:val="32"/>
        </w:rPr>
        <w:t>万元，</w:t>
      </w:r>
      <w:r>
        <w:rPr>
          <w:rFonts w:hint="eastAsia" w:ascii="仿宋" w:hAnsi="仿宋" w:eastAsia="仿宋"/>
          <w:sz w:val="32"/>
          <w:szCs w:val="20"/>
          <w:shd w:val="clear" w:color="auto" w:fill="FFFFFF"/>
        </w:rPr>
        <w:t>比2020年执行数增加0.4万元，增长400.0%</w:t>
      </w:r>
      <w:r>
        <w:rPr>
          <w:rFonts w:hint="eastAsia" w:ascii="仿宋" w:hAnsi="仿宋" w:eastAsia="仿宋"/>
          <w:sz w:val="32"/>
          <w:szCs w:val="20"/>
        </w:rPr>
        <w:t>，</w:t>
      </w:r>
      <w:r>
        <w:rPr>
          <w:rFonts w:hint="eastAsia" w:ascii="仿宋" w:hAnsi="仿宋" w:eastAsia="仿宋"/>
          <w:sz w:val="32"/>
        </w:rPr>
        <w:t>具体如下：</w:t>
      </w:r>
    </w:p>
    <w:p>
      <w:pPr>
        <w:spacing w:line="530" w:lineRule="exact"/>
        <w:ind w:firstLine="643" w:firstLineChars="200"/>
        <w:rPr>
          <w:rFonts w:ascii="仿宋" w:hAnsi="仿宋" w:eastAsia="仿宋" w:cs="仿宋_GB2312"/>
          <w:color w:val="FF0000"/>
          <w:sz w:val="32"/>
          <w:szCs w:val="32"/>
        </w:rPr>
      </w:pPr>
      <w:r>
        <w:rPr>
          <w:rFonts w:hint="eastAsia" w:ascii="仿宋" w:hAnsi="仿宋" w:eastAsia="仿宋" w:cs="仿宋_GB2312"/>
          <w:b/>
          <w:kern w:val="0"/>
          <w:sz w:val="32"/>
          <w:szCs w:val="32"/>
        </w:rPr>
        <w:t>1.因公出国（境）费用：</w:t>
      </w:r>
      <w:r>
        <w:rPr>
          <w:rFonts w:hint="eastAsia" w:ascii="仿宋" w:hAnsi="仿宋" w:eastAsia="仿宋" w:cs="仿宋_GB2312"/>
          <w:color w:val="000000"/>
          <w:sz w:val="32"/>
          <w:szCs w:val="32"/>
        </w:rPr>
        <w:t xml:space="preserve"> 2021年本单位预算未安排因为出国（境）费用，与上年执行数下降100.0%，年中将根据市外事侨务办安排的因公出国计划和实际工作需要追加指标。</w:t>
      </w:r>
    </w:p>
    <w:p>
      <w:pPr>
        <w:spacing w:line="53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2.公务接待费：</w:t>
      </w:r>
      <w:r>
        <w:rPr>
          <w:rFonts w:hint="eastAsia" w:ascii="仿宋" w:hAnsi="仿宋" w:eastAsia="仿宋" w:cs="仿宋_GB2312"/>
          <w:sz w:val="32"/>
          <w:szCs w:val="32"/>
        </w:rPr>
        <w:t>2021年安排公务接待费预算</w:t>
      </w:r>
      <w:r>
        <w:rPr>
          <w:rFonts w:hint="eastAsia" w:ascii="仿宋" w:hAnsi="仿宋" w:eastAsia="仿宋"/>
          <w:color w:val="000000"/>
          <w:sz w:val="32"/>
          <w:szCs w:val="32"/>
        </w:rPr>
        <w:t>0.5</w:t>
      </w:r>
      <w:r>
        <w:rPr>
          <w:rFonts w:hint="eastAsia" w:ascii="仿宋" w:hAnsi="仿宋" w:eastAsia="仿宋" w:cs="仿宋_GB2312"/>
          <w:sz w:val="32"/>
          <w:szCs w:val="32"/>
        </w:rPr>
        <w:t>万元，比上年执行数增长400.0%。主要用于接待业务单位等支出。增加的主要原因是修理机器、防洪抢险等紧急任务的工作餐支出。</w:t>
      </w:r>
    </w:p>
    <w:p>
      <w:pPr>
        <w:pStyle w:val="10"/>
        <w:widowControl w:val="0"/>
        <w:spacing w:line="530" w:lineRule="exact"/>
        <w:ind w:firstLine="643" w:firstLineChars="200"/>
        <w:rPr>
          <w:rFonts w:ascii="仿宋_GB2312" w:hAnsi="仿宋_GB2312" w:eastAsia="仿宋_GB2312" w:cs="仿宋_GB2312"/>
          <w:kern w:val="2"/>
          <w:sz w:val="32"/>
          <w:szCs w:val="32"/>
        </w:rPr>
      </w:pPr>
      <w:r>
        <w:rPr>
          <w:rFonts w:hint="eastAsia" w:ascii="仿宋" w:hAnsi="仿宋" w:eastAsia="仿宋"/>
          <w:b/>
          <w:bCs/>
          <w:sz w:val="32"/>
          <w:szCs w:val="32"/>
        </w:rPr>
        <w:t>3.公务用车购置及运行维护费：</w:t>
      </w:r>
      <w:r>
        <w:rPr>
          <w:rFonts w:hint="eastAsia" w:ascii="仿宋" w:hAnsi="仿宋" w:eastAsia="仿宋" w:cs="仿宋_GB2312"/>
          <w:kern w:val="2"/>
          <w:sz w:val="32"/>
          <w:szCs w:val="32"/>
        </w:rPr>
        <w:t>2021年安排公务用车购置及运行维护费预算0万元，比上年执行数下降100.0%。其中，公务用车购置支出0万元（含购置税等附加费用），主要用于经批准购置的0辆公务用车；公务用车运行维护费支出0万元，主要用于管委会及综合执法等所需的公务用车燃料费、维修费、过桥过路费、保险费、安全奖励费用等支出。增长的主要原因是有两辆车超过安全使用年限。</w:t>
      </w:r>
    </w:p>
    <w:p>
      <w:pPr>
        <w:pStyle w:val="10"/>
        <w:widowControl w:val="0"/>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（九）其他重要事项的情况说明</w:t>
      </w:r>
    </w:p>
    <w:p>
      <w:pPr>
        <w:pStyle w:val="10"/>
        <w:widowControl w:val="0"/>
        <w:spacing w:line="530" w:lineRule="exact"/>
        <w:ind w:firstLine="643" w:firstLineChars="200"/>
        <w:rPr>
          <w:rFonts w:ascii="仿宋" w:hAnsi="仿宋" w:eastAsia="仿宋"/>
          <w:b/>
          <w:bCs/>
          <w:sz w:val="32"/>
          <w:szCs w:val="32"/>
        </w:rPr>
      </w:pPr>
      <w:r>
        <w:rPr>
          <w:rFonts w:hint="eastAsia" w:ascii="仿宋" w:hAnsi="仿宋" w:eastAsia="仿宋"/>
          <w:b/>
          <w:bCs/>
          <w:sz w:val="32"/>
          <w:szCs w:val="32"/>
        </w:rPr>
        <w:t>1.政府采购情况</w:t>
      </w:r>
    </w:p>
    <w:p>
      <w:pPr>
        <w:pStyle w:val="10"/>
        <w:widowControl w:val="0"/>
        <w:spacing w:line="530" w:lineRule="exact"/>
        <w:ind w:firstLine="640" w:firstLineChars="200"/>
        <w:rPr>
          <w:rFonts w:ascii="仿宋" w:hAnsi="仿宋" w:eastAsia="仿宋"/>
          <w:sz w:val="32"/>
          <w:szCs w:val="32"/>
        </w:rPr>
      </w:pPr>
      <w:r>
        <w:rPr>
          <w:rFonts w:hint="eastAsia" w:ascii="仿宋" w:hAnsi="仿宋" w:eastAsia="仿宋"/>
          <w:sz w:val="32"/>
          <w:szCs w:val="32"/>
        </w:rPr>
        <w:t>2021年</w:t>
      </w:r>
      <w:r>
        <w:rPr>
          <w:rFonts w:hint="eastAsia" w:ascii="仿宋" w:hAnsi="仿宋" w:eastAsia="仿宋"/>
          <w:color w:val="000000"/>
          <w:sz w:val="32"/>
          <w:szCs w:val="32"/>
        </w:rPr>
        <w:t>金华市双龙电站管理所所属各预算单位采购预算总额1.7万元，其中：政府采购货物预算1.7万元、政府采购工程预算0万元、政府采购服务预算0万元。</w:t>
      </w:r>
    </w:p>
    <w:p>
      <w:pPr>
        <w:pStyle w:val="10"/>
        <w:widowControl w:val="0"/>
        <w:spacing w:line="530" w:lineRule="exact"/>
        <w:ind w:firstLine="643" w:firstLineChars="200"/>
        <w:rPr>
          <w:rFonts w:ascii="仿宋" w:hAnsi="仿宋" w:eastAsia="仿宋"/>
          <w:sz w:val="32"/>
          <w:szCs w:val="32"/>
        </w:rPr>
      </w:pPr>
      <w:r>
        <w:rPr>
          <w:rFonts w:hint="eastAsia" w:ascii="仿宋" w:hAnsi="仿宋" w:eastAsia="仿宋"/>
          <w:b/>
          <w:bCs/>
          <w:sz w:val="32"/>
          <w:szCs w:val="32"/>
        </w:rPr>
        <w:t>2.国有资产占有使用情况</w:t>
      </w:r>
    </w:p>
    <w:p>
      <w:pPr>
        <w:spacing w:line="530" w:lineRule="exact"/>
        <w:ind w:firstLine="664" w:firstLineChars="200"/>
        <w:rPr>
          <w:rFonts w:ascii="仿宋" w:hAnsi="仿宋" w:eastAsia="仿宋" w:cs="仿宋_GB2312"/>
          <w:color w:val="FF0000"/>
          <w:sz w:val="32"/>
          <w:szCs w:val="32"/>
        </w:rPr>
      </w:pPr>
      <w:r>
        <w:rPr>
          <w:rFonts w:hint="eastAsia" w:ascii="仿宋" w:hAnsi="仿宋" w:eastAsia="仿宋" w:cs="仿宋_GB2312"/>
          <w:spacing w:val="6"/>
          <w:sz w:val="32"/>
          <w:szCs w:val="32"/>
        </w:rPr>
        <w:t>截至2020年12月31日，</w:t>
      </w:r>
      <w:r>
        <w:rPr>
          <w:rFonts w:hint="eastAsia" w:ascii="仿宋" w:hAnsi="仿宋" w:eastAsia="仿宋"/>
          <w:color w:val="000000"/>
          <w:sz w:val="32"/>
          <w:szCs w:val="32"/>
        </w:rPr>
        <w:t>金华市双龙电站管理所</w:t>
      </w:r>
      <w:r>
        <w:rPr>
          <w:rFonts w:hint="eastAsia" w:ascii="仿宋" w:hAnsi="仿宋" w:eastAsia="仿宋" w:cs="仿宋_GB2312"/>
          <w:spacing w:val="6"/>
          <w:sz w:val="32"/>
          <w:szCs w:val="32"/>
        </w:rPr>
        <w:t>所属各预算单位共有车辆</w:t>
      </w:r>
      <w:r>
        <w:rPr>
          <w:rFonts w:hint="eastAsia" w:ascii="仿宋" w:hAnsi="仿宋" w:eastAsia="仿宋" w:cs="仿宋_GB2312"/>
          <w:sz w:val="32"/>
          <w:szCs w:val="32"/>
        </w:rPr>
        <w:t>0辆，其中，</w:t>
      </w:r>
      <w:r>
        <w:rPr>
          <w:rFonts w:hint="eastAsia" w:ascii="仿宋" w:hAnsi="仿宋" w:eastAsia="仿宋" w:cs="仿宋_GB2312"/>
          <w:color w:val="000000"/>
          <w:sz w:val="32"/>
          <w:szCs w:val="32"/>
        </w:rPr>
        <w:t xml:space="preserve">一般公务用车0辆，执法执勤用车0辆，特种专业技术用车0辆，其他用车0辆。单位价值50万元以上通用设备0台（套），单位价值100万元以上专用设备0台（套）。 </w:t>
      </w:r>
    </w:p>
    <w:p>
      <w:pPr>
        <w:spacing w:line="53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2021年部门预算未安排购置车辆、单位价值50万元以上通用设备及单位价值100万元以上专用设备。</w:t>
      </w:r>
    </w:p>
    <w:p>
      <w:pPr>
        <w:pStyle w:val="10"/>
        <w:widowControl w:val="0"/>
        <w:spacing w:line="530" w:lineRule="exact"/>
        <w:ind w:firstLine="643" w:firstLineChars="200"/>
        <w:rPr>
          <w:rFonts w:ascii="仿宋" w:hAnsi="仿宋" w:eastAsia="仿宋"/>
          <w:b/>
          <w:bCs/>
          <w:sz w:val="32"/>
          <w:szCs w:val="32"/>
        </w:rPr>
      </w:pPr>
      <w:r>
        <w:rPr>
          <w:rFonts w:hint="eastAsia" w:ascii="仿宋" w:hAnsi="仿宋" w:eastAsia="仿宋"/>
          <w:b/>
          <w:bCs/>
          <w:sz w:val="32"/>
          <w:szCs w:val="32"/>
        </w:rPr>
        <w:t>3.绩效目标设置情况</w:t>
      </w:r>
    </w:p>
    <w:p>
      <w:pPr>
        <w:pStyle w:val="10"/>
        <w:widowControl w:val="0"/>
        <w:spacing w:line="530" w:lineRule="exact"/>
        <w:ind w:firstLine="640" w:firstLineChars="200"/>
        <w:rPr>
          <w:rFonts w:ascii="仿宋" w:hAnsi="仿宋" w:eastAsia="仿宋"/>
          <w:bCs/>
          <w:sz w:val="32"/>
          <w:szCs w:val="32"/>
        </w:rPr>
      </w:pPr>
      <w:r>
        <w:rPr>
          <w:rFonts w:hint="eastAsia" w:ascii="仿宋" w:hAnsi="仿宋" w:eastAsia="仿宋"/>
          <w:sz w:val="32"/>
          <w:szCs w:val="32"/>
        </w:rPr>
        <w:t>⑴总体情况。2021年</w:t>
      </w:r>
      <w:r>
        <w:rPr>
          <w:rFonts w:hint="eastAsia" w:ascii="仿宋" w:hAnsi="仿宋" w:eastAsia="仿宋"/>
          <w:color w:val="000000"/>
          <w:sz w:val="32"/>
          <w:szCs w:val="32"/>
        </w:rPr>
        <w:t>金华市双龙电站管理所通用类和专用类项目均实行绩效目标管理，涉及政府性基金当年拨款100万元。</w:t>
      </w:r>
    </w:p>
    <w:p>
      <w:pPr>
        <w:pStyle w:val="10"/>
        <w:spacing w:line="530" w:lineRule="exact"/>
        <w:ind w:firstLine="640" w:firstLineChars="200"/>
        <w:rPr>
          <w:rFonts w:ascii="仿宋" w:hAnsi="仿宋" w:eastAsia="仿宋" w:cs="仿宋"/>
          <w:sz w:val="32"/>
          <w:szCs w:val="32"/>
        </w:rPr>
      </w:pPr>
      <w:r>
        <w:rPr>
          <w:rFonts w:hint="eastAsia" w:ascii="仿宋" w:hAnsi="仿宋" w:eastAsia="仿宋"/>
          <w:bCs/>
          <w:sz w:val="32"/>
          <w:szCs w:val="32"/>
        </w:rPr>
        <w:t>⑵重点项目情况。西干渠加固改造工程，总目标完成西干渠加固改造，阶段性目标2021年完成砼管铺设、盖板涵型式衬砌、改造放空底涵，2021年完成道路硬化。本年度主要任务是对项目区内渠道进行清淤、防渗衬砌、加固改造及启闭机和闸门改造，工程主要建设内容包括:对渠道进行衬砌处理并浇筑盖板，长479m;仅对渠道进行衬砌，长139m;沿着原有DN800的涵管铺设路线新增一根DN600的水泥管，长245m;增设放空底涵1处;对现有涵管进行加固，长26m;更换闸门及启闭机2处;沿道路修建长约1000m的不锈钢栏杆。2021年安排预算资金100万元。</w:t>
      </w:r>
    </w:p>
    <w:p>
      <w:pPr>
        <w:pStyle w:val="10"/>
        <w:widowControl w:val="0"/>
        <w:spacing w:line="530" w:lineRule="exact"/>
        <w:ind w:firstLine="643" w:firstLineChars="200"/>
        <w:rPr>
          <w:rFonts w:ascii="仿宋" w:hAnsi="仿宋" w:eastAsia="仿宋"/>
          <w:b/>
          <w:bCs/>
          <w:sz w:val="32"/>
          <w:szCs w:val="32"/>
        </w:rPr>
      </w:pPr>
      <w:r>
        <w:rPr>
          <w:rFonts w:hint="eastAsia" w:ascii="仿宋" w:hAnsi="仿宋" w:eastAsia="仿宋"/>
          <w:b/>
          <w:bCs/>
          <w:sz w:val="32"/>
          <w:szCs w:val="32"/>
        </w:rPr>
        <w:t>4.以部门为主体的绩效目标</w:t>
      </w:r>
    </w:p>
    <w:p>
      <w:pPr>
        <w:pStyle w:val="10"/>
        <w:spacing w:line="530" w:lineRule="exact"/>
        <w:ind w:firstLine="640" w:firstLineChars="200"/>
        <w:rPr>
          <w:rFonts w:ascii="仿宋" w:hAnsi="仿宋" w:eastAsia="仿宋"/>
          <w:bCs/>
          <w:sz w:val="32"/>
          <w:szCs w:val="32"/>
        </w:rPr>
      </w:pPr>
      <w:r>
        <w:rPr>
          <w:rFonts w:hint="eastAsia" w:ascii="仿宋" w:hAnsi="仿宋" w:eastAsia="仿宋"/>
          <w:bCs/>
          <w:sz w:val="32"/>
          <w:szCs w:val="32"/>
        </w:rPr>
        <w:t>2021年金华市双龙电站管理所未进行以部门为主体的绩效目标管理，无相关绩效目标。</w:t>
      </w:r>
    </w:p>
    <w:p>
      <w:pPr>
        <w:pStyle w:val="10"/>
        <w:widowControl w:val="0"/>
        <w:spacing w:line="530" w:lineRule="exact"/>
        <w:ind w:firstLine="640" w:firstLineChars="200"/>
        <w:rPr>
          <w:rStyle w:val="7"/>
          <w:rFonts w:ascii="黑体" w:hAnsi="黑体" w:eastAsia="黑体" w:cs="黑体"/>
          <w:b w:val="0"/>
        </w:rPr>
      </w:pPr>
      <w:r>
        <w:rPr>
          <w:rStyle w:val="7"/>
          <w:rFonts w:hint="eastAsia" w:ascii="黑体" w:hAnsi="黑体" w:eastAsia="黑体" w:cs="黑体"/>
          <w:b w:val="0"/>
        </w:rPr>
        <w:t>三、名词解释</w:t>
      </w:r>
    </w:p>
    <w:p>
      <w:pPr>
        <w:spacing w:line="530" w:lineRule="exact"/>
        <w:ind w:firstLine="643" w:firstLineChars="200"/>
        <w:rPr>
          <w:rFonts w:ascii="仿宋" w:hAnsi="仿宋" w:eastAsia="仿宋"/>
          <w:bCs/>
          <w:color w:val="000000"/>
          <w:sz w:val="32"/>
          <w:szCs w:val="32"/>
        </w:rPr>
      </w:pPr>
      <w:r>
        <w:rPr>
          <w:rFonts w:hint="eastAsia" w:ascii="仿宋" w:hAnsi="仿宋" w:eastAsia="仿宋"/>
          <w:b/>
          <w:bCs/>
          <w:color w:val="000000"/>
          <w:sz w:val="32"/>
          <w:szCs w:val="32"/>
        </w:rPr>
        <w:t>1.财政拨款收入：</w:t>
      </w:r>
      <w:r>
        <w:rPr>
          <w:rFonts w:hint="eastAsia" w:ascii="仿宋" w:hAnsi="仿宋" w:eastAsia="仿宋"/>
          <w:sz w:val="32"/>
          <w:szCs w:val="32"/>
        </w:rPr>
        <w:t>本级财政部门当年拨付的财政预算资金，包括一般公共预算财政拨款和政府性基金预算财政拨款。</w:t>
      </w:r>
    </w:p>
    <w:p>
      <w:pPr>
        <w:spacing w:line="530" w:lineRule="exact"/>
        <w:ind w:firstLine="643" w:firstLineChars="200"/>
        <w:rPr>
          <w:rFonts w:ascii="仿宋" w:hAnsi="仿宋" w:eastAsia="仿宋"/>
          <w:sz w:val="32"/>
          <w:szCs w:val="32"/>
        </w:rPr>
      </w:pPr>
      <w:r>
        <w:rPr>
          <w:rFonts w:hint="eastAsia" w:ascii="仿宋" w:hAnsi="仿宋" w:eastAsia="仿宋"/>
          <w:b/>
          <w:bCs/>
          <w:color w:val="000000"/>
          <w:sz w:val="32"/>
          <w:szCs w:val="32"/>
        </w:rPr>
        <w:t>2.财政专户管理的资金:</w:t>
      </w:r>
      <w:r>
        <w:rPr>
          <w:rFonts w:hint="eastAsia" w:ascii="仿宋" w:hAnsi="仿宋" w:eastAsia="仿宋"/>
          <w:bCs/>
          <w:color w:val="000000"/>
          <w:sz w:val="32"/>
          <w:szCs w:val="32"/>
        </w:rPr>
        <w:t>财政部门在银行开设的用于核算和反映政府非税收入以及其他需要</w:t>
      </w:r>
      <w:r>
        <w:rPr>
          <w:rFonts w:ascii="仿宋" w:hAnsi="仿宋" w:eastAsia="仿宋"/>
          <w:sz w:val="32"/>
          <w:szCs w:val="32"/>
        </w:rPr>
        <w:t>专户管理的资金。</w:t>
      </w:r>
    </w:p>
    <w:p>
      <w:pPr>
        <w:spacing w:line="530" w:lineRule="exact"/>
        <w:ind w:firstLine="643" w:firstLineChars="200"/>
        <w:jc w:val="left"/>
        <w:rPr>
          <w:rFonts w:ascii="仿宋" w:hAnsi="仿宋" w:eastAsia="仿宋"/>
          <w:sz w:val="32"/>
          <w:szCs w:val="32"/>
        </w:rPr>
      </w:pPr>
      <w:r>
        <w:rPr>
          <w:rFonts w:hint="eastAsia" w:ascii="仿宋" w:hAnsi="仿宋" w:eastAsia="仿宋"/>
          <w:b/>
          <w:bCs/>
          <w:color w:val="000000"/>
          <w:sz w:val="32"/>
          <w:szCs w:val="32"/>
        </w:rPr>
        <w:t>3.其他收入：</w:t>
      </w:r>
      <w:r>
        <w:rPr>
          <w:rFonts w:hint="eastAsia" w:ascii="仿宋" w:hAnsi="仿宋" w:eastAsia="仿宋"/>
          <w:sz w:val="32"/>
          <w:szCs w:val="32"/>
        </w:rPr>
        <w:t>预算单位在“一般公共预算”、“政府性基金”、“财政专户管理的资金”等之外取得的各项收入（含上级补助收入）。</w:t>
      </w:r>
    </w:p>
    <w:p>
      <w:pPr>
        <w:spacing w:line="530" w:lineRule="exact"/>
        <w:ind w:firstLine="643" w:firstLineChars="200"/>
        <w:rPr>
          <w:rFonts w:ascii="仿宋" w:hAnsi="仿宋" w:eastAsia="仿宋"/>
          <w:sz w:val="32"/>
          <w:szCs w:val="32"/>
        </w:rPr>
      </w:pPr>
      <w:r>
        <w:rPr>
          <w:rFonts w:hint="eastAsia" w:ascii="仿宋" w:hAnsi="仿宋" w:eastAsia="仿宋"/>
          <w:b/>
          <w:bCs/>
          <w:color w:val="000000"/>
          <w:sz w:val="32"/>
          <w:szCs w:val="32"/>
        </w:rPr>
        <w:t>4.单位结余：</w:t>
      </w:r>
      <w:r>
        <w:rPr>
          <w:rFonts w:hint="eastAsia" w:ascii="仿宋" w:hAnsi="仿宋" w:eastAsia="仿宋"/>
          <w:bCs/>
          <w:color w:val="000000"/>
          <w:sz w:val="32"/>
          <w:szCs w:val="32"/>
        </w:rPr>
        <w:t>指事业单位在预计用当年的“财政拨款收入”、“财政专户管理资金”、“其他收入”、“上年结转”等不足以安排当年支出的情况下，使</w:t>
      </w:r>
      <w:r>
        <w:rPr>
          <w:rFonts w:ascii="仿宋" w:hAnsi="仿宋" w:eastAsia="仿宋"/>
          <w:sz w:val="32"/>
          <w:szCs w:val="32"/>
        </w:rPr>
        <w:t>用</w:t>
      </w:r>
      <w:r>
        <w:rPr>
          <w:rFonts w:hint="eastAsia" w:ascii="仿宋" w:hAnsi="仿宋" w:eastAsia="仿宋"/>
          <w:sz w:val="32"/>
          <w:szCs w:val="32"/>
        </w:rPr>
        <w:t>以前年度积累的一般结余、</w:t>
      </w:r>
      <w:r>
        <w:rPr>
          <w:rFonts w:ascii="仿宋" w:hAnsi="仿宋" w:eastAsia="仿宋"/>
          <w:sz w:val="32"/>
          <w:szCs w:val="32"/>
        </w:rPr>
        <w:t>事业基金</w:t>
      </w:r>
      <w:r>
        <w:rPr>
          <w:rFonts w:hint="eastAsia" w:ascii="仿宋" w:hAnsi="仿宋" w:eastAsia="仿宋"/>
          <w:sz w:val="32"/>
          <w:szCs w:val="32"/>
        </w:rPr>
        <w:t>、专用基金和专项结余等</w:t>
      </w:r>
      <w:r>
        <w:rPr>
          <w:rFonts w:ascii="仿宋" w:hAnsi="仿宋" w:eastAsia="仿宋"/>
          <w:sz w:val="32"/>
          <w:szCs w:val="32"/>
        </w:rPr>
        <w:t>弥补本年收支</w:t>
      </w:r>
      <w:r>
        <w:rPr>
          <w:rFonts w:hint="eastAsia" w:ascii="仿宋" w:hAnsi="仿宋" w:eastAsia="仿宋"/>
          <w:sz w:val="32"/>
          <w:szCs w:val="32"/>
        </w:rPr>
        <w:t>缺口的资金。</w:t>
      </w:r>
    </w:p>
    <w:p>
      <w:pPr>
        <w:spacing w:line="530" w:lineRule="exact"/>
        <w:ind w:firstLine="643" w:firstLineChars="200"/>
        <w:rPr>
          <w:rFonts w:ascii="仿宋" w:hAnsi="仿宋" w:eastAsia="仿宋"/>
          <w:sz w:val="32"/>
          <w:szCs w:val="32"/>
        </w:rPr>
      </w:pPr>
      <w:r>
        <w:rPr>
          <w:rFonts w:hint="eastAsia" w:ascii="仿宋" w:hAnsi="仿宋" w:eastAsia="仿宋"/>
          <w:b/>
          <w:bCs/>
          <w:color w:val="000000"/>
          <w:sz w:val="32"/>
          <w:szCs w:val="32"/>
        </w:rPr>
        <w:t>5.上年结转：</w:t>
      </w:r>
      <w:r>
        <w:rPr>
          <w:rFonts w:hint="eastAsia" w:ascii="仿宋" w:hAnsi="仿宋" w:eastAsia="仿宋"/>
          <w:sz w:val="32"/>
          <w:szCs w:val="32"/>
        </w:rPr>
        <w:t>指以前年度尚未完成、结转到本年仍按原规定用途继续使用的资金。</w:t>
      </w:r>
    </w:p>
    <w:p>
      <w:pPr>
        <w:spacing w:line="530" w:lineRule="exact"/>
        <w:ind w:firstLine="643" w:firstLineChars="200"/>
        <w:jc w:val="left"/>
        <w:rPr>
          <w:rFonts w:ascii="仿宋" w:hAnsi="仿宋" w:eastAsia="仿宋"/>
          <w:sz w:val="32"/>
          <w:szCs w:val="32"/>
        </w:rPr>
      </w:pPr>
      <w:r>
        <w:rPr>
          <w:rFonts w:hint="eastAsia" w:ascii="仿宋" w:hAnsi="仿宋" w:eastAsia="仿宋"/>
          <w:b/>
          <w:bCs/>
          <w:color w:val="000000"/>
          <w:sz w:val="32"/>
          <w:szCs w:val="32"/>
        </w:rPr>
        <w:t>6.基本支出：</w:t>
      </w:r>
      <w:r>
        <w:rPr>
          <w:rFonts w:hint="eastAsia" w:ascii="仿宋" w:hAnsi="仿宋" w:eastAsia="仿宋"/>
          <w:sz w:val="32"/>
          <w:szCs w:val="32"/>
        </w:rPr>
        <w:t>是预算单位为保障其正常运转，完成日常工作任务所发生的支出，包括人员支出和日常公用支出。</w:t>
      </w:r>
    </w:p>
    <w:p>
      <w:pPr>
        <w:spacing w:line="530" w:lineRule="exact"/>
        <w:ind w:firstLine="643" w:firstLineChars="200"/>
        <w:jc w:val="left"/>
        <w:rPr>
          <w:rFonts w:ascii="仿宋" w:hAnsi="仿宋" w:eastAsia="仿宋"/>
          <w:sz w:val="32"/>
          <w:szCs w:val="32"/>
        </w:rPr>
      </w:pPr>
      <w:r>
        <w:rPr>
          <w:rFonts w:hint="eastAsia" w:ascii="仿宋" w:hAnsi="仿宋" w:eastAsia="仿宋"/>
          <w:b/>
          <w:bCs/>
          <w:color w:val="000000"/>
          <w:sz w:val="32"/>
          <w:szCs w:val="32"/>
        </w:rPr>
        <w:t>7.项目支出：</w:t>
      </w:r>
      <w:r>
        <w:rPr>
          <w:rFonts w:hint="eastAsia" w:ascii="仿宋" w:hAnsi="仿宋" w:eastAsia="仿宋"/>
          <w:sz w:val="32"/>
          <w:szCs w:val="32"/>
        </w:rPr>
        <w:t>是预算单位为完成其特定的行政工作任务或事业发展目标所发生的支出。</w:t>
      </w:r>
    </w:p>
    <w:p>
      <w:pPr>
        <w:snapToGrid w:val="0"/>
        <w:spacing w:line="53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8.“三公”经费：</w:t>
      </w:r>
      <w:r>
        <w:rPr>
          <w:rFonts w:hint="eastAsia" w:ascii="仿宋" w:hAnsi="仿宋" w:eastAsia="仿宋" w:cs="仿宋_GB2312"/>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3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9.机关运行经费：</w:t>
      </w:r>
      <w:r>
        <w:rPr>
          <w:rFonts w:hint="eastAsia" w:ascii="仿宋" w:hAnsi="仿宋" w:eastAsia="仿宋" w:cs="仿宋_GB2312"/>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10.</w:t>
      </w:r>
      <w:r>
        <w:rPr>
          <w:rFonts w:hint="eastAsia" w:ascii="仿宋" w:hAnsi="仿宋" w:eastAsia="仿宋"/>
          <w:color w:val="000000"/>
          <w:sz w:val="32"/>
          <w:szCs w:val="32"/>
        </w:rPr>
        <w:t>教育支出（类）进修及培训（款）培训支出（项），主要用于部门单位人院进修及教育培训。</w:t>
      </w:r>
    </w:p>
    <w:p>
      <w:pPr>
        <w:spacing w:line="53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11.</w:t>
      </w:r>
      <w:r>
        <w:rPr>
          <w:rFonts w:hint="eastAsia" w:ascii="仿宋" w:hAnsi="仿宋" w:eastAsia="仿宋"/>
          <w:color w:val="000000"/>
          <w:sz w:val="32"/>
          <w:szCs w:val="32"/>
        </w:rPr>
        <w:t>社会保障和就业支出（类）行政事业单位养老支出（款）机关事业单位基本养老保险缴费支出（项）元，主要用于</w:t>
      </w:r>
      <w:bookmarkStart w:id="1" w:name="_GoBack"/>
      <w:bookmarkEnd w:id="1"/>
      <w:r>
        <w:rPr>
          <w:rFonts w:hint="eastAsia" w:ascii="仿宋" w:hAnsi="仿宋" w:eastAsia="仿宋"/>
          <w:color w:val="000000"/>
          <w:sz w:val="32"/>
          <w:szCs w:val="32"/>
        </w:rPr>
        <w:t>机关事业单位养老保险缴费支出。</w:t>
      </w:r>
    </w:p>
    <w:p>
      <w:pPr>
        <w:spacing w:line="530" w:lineRule="exact"/>
        <w:ind w:firstLine="643" w:firstLineChars="200"/>
        <w:rPr>
          <w:rFonts w:ascii="仿宋" w:hAnsi="仿宋" w:eastAsia="仿宋"/>
          <w:color w:val="000000"/>
          <w:sz w:val="32"/>
          <w:szCs w:val="32"/>
        </w:rPr>
      </w:pPr>
      <w:r>
        <w:rPr>
          <w:rFonts w:hint="eastAsia" w:ascii="仿宋" w:hAnsi="仿宋" w:eastAsia="仿宋" w:cs="仿宋_GB2312"/>
          <w:b/>
          <w:bCs/>
          <w:sz w:val="32"/>
          <w:szCs w:val="32"/>
        </w:rPr>
        <w:t>12.</w:t>
      </w:r>
      <w:r>
        <w:rPr>
          <w:rFonts w:hint="eastAsia" w:ascii="仿宋" w:hAnsi="仿宋" w:eastAsia="仿宋"/>
          <w:color w:val="000000"/>
          <w:sz w:val="32"/>
          <w:szCs w:val="32"/>
        </w:rPr>
        <w:t>社会保障和就业支出（类）行政事业单位养老支出（款）机关事业单位职业年金缴费支出（项），主要用于机关事业单位职业年金缴费支出。</w:t>
      </w:r>
    </w:p>
    <w:p>
      <w:pPr>
        <w:spacing w:line="530" w:lineRule="exact"/>
        <w:ind w:firstLine="643" w:firstLineChars="200"/>
        <w:rPr>
          <w:rFonts w:ascii="仿宋" w:hAnsi="仿宋" w:eastAsia="仿宋"/>
          <w:color w:val="000000"/>
          <w:sz w:val="32"/>
          <w:szCs w:val="32"/>
        </w:rPr>
      </w:pPr>
      <w:r>
        <w:rPr>
          <w:rFonts w:hint="eastAsia" w:ascii="仿宋" w:hAnsi="仿宋" w:eastAsia="仿宋" w:cs="仿宋_GB2312"/>
          <w:b/>
          <w:bCs/>
          <w:sz w:val="32"/>
          <w:szCs w:val="32"/>
        </w:rPr>
        <w:t>13.</w:t>
      </w:r>
      <w:r>
        <w:rPr>
          <w:rFonts w:hint="eastAsia" w:ascii="仿宋" w:hAnsi="仿宋" w:eastAsia="仿宋"/>
          <w:color w:val="000000"/>
          <w:sz w:val="32"/>
          <w:szCs w:val="32"/>
        </w:rPr>
        <w:t>社会保障和就业支出（类）行政事业单位养老支出（款）其他行政事业单位养老支出（项），主要用于退休工人护理费和活动经费支出。</w:t>
      </w:r>
    </w:p>
    <w:p>
      <w:pPr>
        <w:spacing w:line="53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14.</w:t>
      </w:r>
      <w:r>
        <w:rPr>
          <w:rFonts w:hint="eastAsia" w:ascii="仿宋" w:hAnsi="仿宋" w:eastAsia="仿宋"/>
          <w:color w:val="000000"/>
          <w:sz w:val="32"/>
          <w:szCs w:val="32"/>
        </w:rPr>
        <w:t>卫生健康支出（类）行政事业单位医疗（款）事业单位医疗（项），主要用于在职和退休人员医疗保险。</w:t>
      </w:r>
    </w:p>
    <w:p>
      <w:pPr>
        <w:spacing w:line="53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15.</w:t>
      </w:r>
      <w:r>
        <w:rPr>
          <w:rFonts w:hint="eastAsia" w:ascii="仿宋" w:hAnsi="仿宋" w:eastAsia="仿宋"/>
          <w:color w:val="000000"/>
          <w:sz w:val="32"/>
          <w:szCs w:val="32"/>
        </w:rPr>
        <w:t>农林水支出（类）水利（款）水利行业业务管理（项），主要用于双龙电站基本支出。</w:t>
      </w:r>
    </w:p>
    <w:p>
      <w:pPr>
        <w:spacing w:line="53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16.</w:t>
      </w:r>
      <w:r>
        <w:rPr>
          <w:rFonts w:hint="eastAsia" w:ascii="仿宋" w:hAnsi="仿宋" w:eastAsia="仿宋"/>
          <w:color w:val="000000"/>
          <w:sz w:val="32"/>
          <w:szCs w:val="32"/>
        </w:rPr>
        <w:t>农林水支出（类）水利（款）其他水利支出（项），主要用于单位经常性项目支出。</w:t>
      </w:r>
    </w:p>
    <w:p>
      <w:pPr>
        <w:spacing w:line="530" w:lineRule="exact"/>
        <w:ind w:firstLine="643" w:firstLineChars="200"/>
        <w:rPr>
          <w:rFonts w:ascii="仿宋" w:hAnsi="仿宋" w:eastAsia="仿宋"/>
          <w:color w:val="000000"/>
          <w:sz w:val="32"/>
          <w:szCs w:val="32"/>
        </w:rPr>
      </w:pPr>
      <w:r>
        <w:rPr>
          <w:rFonts w:hint="eastAsia" w:ascii="仿宋" w:hAnsi="仿宋" w:eastAsia="仿宋" w:cs="仿宋_GB2312"/>
          <w:b/>
          <w:bCs/>
          <w:sz w:val="32"/>
          <w:szCs w:val="32"/>
        </w:rPr>
        <w:t>17.</w:t>
      </w:r>
      <w:r>
        <w:rPr>
          <w:rFonts w:hint="eastAsia" w:ascii="仿宋" w:hAnsi="仿宋" w:eastAsia="仿宋"/>
          <w:color w:val="000000"/>
          <w:sz w:val="32"/>
          <w:szCs w:val="32"/>
        </w:rPr>
        <w:t>住房保障支出（类）住房改革支出（款）住房公积金（项），主要用于在职职工的住房公积金。</w:t>
      </w:r>
    </w:p>
    <w:p>
      <w:pPr>
        <w:spacing w:line="530" w:lineRule="exact"/>
        <w:ind w:firstLine="640" w:firstLineChars="200"/>
        <w:rPr>
          <w:rFonts w:ascii="仿宋" w:hAnsi="仿宋" w:eastAsia="仿宋" w:cs="仿宋_GB2312"/>
          <w:b/>
          <w:bCs/>
          <w:sz w:val="32"/>
          <w:szCs w:val="32"/>
        </w:rPr>
      </w:pPr>
      <w:r>
        <w:rPr>
          <w:rFonts w:hint="eastAsia" w:ascii="仿宋" w:hAnsi="仿宋" w:eastAsia="仿宋"/>
          <w:color w:val="000000"/>
          <w:sz w:val="32"/>
          <w:szCs w:val="32"/>
        </w:rPr>
        <w:t>18.城乡社区支出（类）国有土地使用权出让收入安排的支出（款）农村基础设施建设支出（项），主要用于农村基础设施项目建设支出。</w:t>
      </w:r>
    </w:p>
    <w:p>
      <w:pPr>
        <w:spacing w:line="530" w:lineRule="exact"/>
        <w:ind w:firstLine="643" w:firstLineChars="200"/>
        <w:rPr>
          <w:rFonts w:ascii="仿宋" w:hAnsi="仿宋" w:eastAsia="仿宋"/>
          <w:b/>
          <w:bCs/>
          <w:color w:val="000000"/>
          <w:sz w:val="32"/>
          <w:szCs w:val="32"/>
        </w:rPr>
      </w:pPr>
    </w:p>
    <w:p>
      <w:pPr>
        <w:spacing w:line="530" w:lineRule="exact"/>
        <w:ind w:firstLine="4800" w:firstLineChars="1500"/>
        <w:rPr>
          <w:rFonts w:ascii="仿宋" w:hAnsi="仿宋" w:eastAsia="仿宋"/>
          <w:sz w:val="32"/>
          <w:szCs w:val="32"/>
        </w:rPr>
      </w:pPr>
      <w:r>
        <w:rPr>
          <w:rFonts w:hint="eastAsia" w:ascii="仿宋" w:hAnsi="仿宋" w:eastAsia="仿宋"/>
          <w:sz w:val="32"/>
          <w:szCs w:val="32"/>
        </w:rPr>
        <w:t>金华市双龙电站管理所</w:t>
      </w:r>
    </w:p>
    <w:p>
      <w:pPr>
        <w:spacing w:line="530" w:lineRule="exact"/>
        <w:ind w:left="5120" w:right="640" w:hanging="5120" w:hangingChars="1600"/>
        <w:rPr>
          <w:rFonts w:ascii="仿宋_GB2312" w:hAnsi="仿宋_GB2312" w:eastAsia="仿宋_GB2312"/>
          <w:sz w:val="32"/>
          <w:szCs w:val="32"/>
        </w:rPr>
      </w:pPr>
      <w:r>
        <w:rPr>
          <w:rFonts w:hint="eastAsia" w:ascii="仿宋" w:hAnsi="仿宋" w:eastAsia="仿宋"/>
          <w:sz w:val="32"/>
          <w:szCs w:val="32"/>
        </w:rPr>
        <w:t xml:space="preserve">                                2021年3月22日   </w:t>
      </w:r>
    </w:p>
    <w:p>
      <w:pPr>
        <w:spacing w:line="530" w:lineRule="exact"/>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xOTM1MjE2Y2Q3YjJkYWMzOGE4ZmFlODYyN2VlZWQifQ=="/>
  </w:docVars>
  <w:rsids>
    <w:rsidRoot w:val="002F0574"/>
    <w:rsid w:val="0004566C"/>
    <w:rsid w:val="000536AD"/>
    <w:rsid w:val="00057BCE"/>
    <w:rsid w:val="000A46D9"/>
    <w:rsid w:val="000C5F97"/>
    <w:rsid w:val="000D7AB6"/>
    <w:rsid w:val="000E6662"/>
    <w:rsid w:val="000F1A7A"/>
    <w:rsid w:val="000F1C13"/>
    <w:rsid w:val="001B46AC"/>
    <w:rsid w:val="001C360B"/>
    <w:rsid w:val="001C5ED2"/>
    <w:rsid w:val="002104AF"/>
    <w:rsid w:val="002715F1"/>
    <w:rsid w:val="002A0E98"/>
    <w:rsid w:val="002C275E"/>
    <w:rsid w:val="002D2A29"/>
    <w:rsid w:val="002E3963"/>
    <w:rsid w:val="002F0574"/>
    <w:rsid w:val="0032389E"/>
    <w:rsid w:val="00353094"/>
    <w:rsid w:val="003671DB"/>
    <w:rsid w:val="00384847"/>
    <w:rsid w:val="003B0057"/>
    <w:rsid w:val="00407560"/>
    <w:rsid w:val="00444CA3"/>
    <w:rsid w:val="004F386D"/>
    <w:rsid w:val="005240BC"/>
    <w:rsid w:val="00537806"/>
    <w:rsid w:val="00564A6D"/>
    <w:rsid w:val="005A192E"/>
    <w:rsid w:val="005A56B6"/>
    <w:rsid w:val="005A5A25"/>
    <w:rsid w:val="005F23A8"/>
    <w:rsid w:val="00624D19"/>
    <w:rsid w:val="006351BD"/>
    <w:rsid w:val="0065087B"/>
    <w:rsid w:val="006669E6"/>
    <w:rsid w:val="00670E24"/>
    <w:rsid w:val="00692B39"/>
    <w:rsid w:val="006A281E"/>
    <w:rsid w:val="006D1630"/>
    <w:rsid w:val="006D2092"/>
    <w:rsid w:val="0072145F"/>
    <w:rsid w:val="00724158"/>
    <w:rsid w:val="00756498"/>
    <w:rsid w:val="00843512"/>
    <w:rsid w:val="00855FB1"/>
    <w:rsid w:val="00862E81"/>
    <w:rsid w:val="008637CB"/>
    <w:rsid w:val="00875D91"/>
    <w:rsid w:val="00910A0D"/>
    <w:rsid w:val="0092326B"/>
    <w:rsid w:val="00926953"/>
    <w:rsid w:val="0094223B"/>
    <w:rsid w:val="00994138"/>
    <w:rsid w:val="00A66E73"/>
    <w:rsid w:val="00A95AF2"/>
    <w:rsid w:val="00A97B90"/>
    <w:rsid w:val="00AA7283"/>
    <w:rsid w:val="00AB79AC"/>
    <w:rsid w:val="00AF5865"/>
    <w:rsid w:val="00B27265"/>
    <w:rsid w:val="00B52EFD"/>
    <w:rsid w:val="00B561F6"/>
    <w:rsid w:val="00BA4B7E"/>
    <w:rsid w:val="00BC2453"/>
    <w:rsid w:val="00BC415C"/>
    <w:rsid w:val="00BC4BEB"/>
    <w:rsid w:val="00C17109"/>
    <w:rsid w:val="00C402E9"/>
    <w:rsid w:val="00C41554"/>
    <w:rsid w:val="00C62B2F"/>
    <w:rsid w:val="00C64467"/>
    <w:rsid w:val="00D549FF"/>
    <w:rsid w:val="00DC641F"/>
    <w:rsid w:val="00DE3E11"/>
    <w:rsid w:val="00E60DBF"/>
    <w:rsid w:val="00E90DB8"/>
    <w:rsid w:val="00EA66C0"/>
    <w:rsid w:val="00EB11CC"/>
    <w:rsid w:val="00EB6360"/>
    <w:rsid w:val="00EB7422"/>
    <w:rsid w:val="00EF516A"/>
    <w:rsid w:val="00F04511"/>
    <w:rsid w:val="00F072EE"/>
    <w:rsid w:val="00F16767"/>
    <w:rsid w:val="00F175B3"/>
    <w:rsid w:val="00F61F26"/>
    <w:rsid w:val="00F70604"/>
    <w:rsid w:val="00F81234"/>
    <w:rsid w:val="00FA59EF"/>
    <w:rsid w:val="00FC025A"/>
    <w:rsid w:val="05EC445F"/>
    <w:rsid w:val="0A08043F"/>
    <w:rsid w:val="0D913E5F"/>
    <w:rsid w:val="2F2148C9"/>
    <w:rsid w:val="499E13F2"/>
    <w:rsid w:val="4A6C2000"/>
    <w:rsid w:val="4B7D355F"/>
    <w:rsid w:val="519E1407"/>
    <w:rsid w:val="52776000"/>
    <w:rsid w:val="550B1086"/>
    <w:rsid w:val="57E941C2"/>
    <w:rsid w:val="66E41A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E4CF7-50EE-40FA-BEBC-5ABEBA8755C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4667</Words>
  <Characters>5570</Characters>
  <Lines>40</Lines>
  <Paragraphs>11</Paragraphs>
  <TotalTime>30</TotalTime>
  <ScaleCrop>false</ScaleCrop>
  <LinksUpToDate>false</LinksUpToDate>
  <CharactersWithSpaces>5617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倪子浩</cp:lastModifiedBy>
  <cp:lastPrinted>2022-11-08T07:45:00Z</cp:lastPrinted>
  <dcterms:modified xsi:type="dcterms:W3CDTF">2022-11-09T07:10:06Z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5AA316CD7B044F8E9879539C83B1B811</vt:lpwstr>
  </property>
</Properties>
</file>